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CCB1" w14:textId="77777777" w:rsidR="00F062E8" w:rsidRPr="00F062E8" w:rsidRDefault="00F062E8" w:rsidP="00F062E8">
      <w:pPr>
        <w:widowControl w:val="0"/>
        <w:autoSpaceDE w:val="0"/>
        <w:autoSpaceDN w:val="0"/>
        <w:spacing w:after="0" w:line="240" w:lineRule="auto"/>
        <w:ind w:left="84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bookmarkStart w:id="0" w:name="_Toc66368744"/>
      <w:r w:rsidRPr="00F062E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1.2. ИСПОЛЬЗОВАННЫЕ МЕТОДЫ АНАЛИЗА, ВЫВОДЫ ИЗ АНАЛИЗА</w:t>
      </w:r>
      <w:bookmarkEnd w:id="0"/>
    </w:p>
    <w:p w14:paraId="6F078880" w14:textId="77777777" w:rsidR="00F062E8" w:rsidRPr="00F062E8" w:rsidRDefault="00F062E8" w:rsidP="00F06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0C8D6A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четкого определения состава предстоящей работы, мы провели исследование образовательной среды нашей школы в направлении ее способности развивать личность ребенка.</w:t>
      </w:r>
    </w:p>
    <w:p w14:paraId="6F99D92C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была использованы Методика векторного моделирования среды развития личности, разработанная В.А. </w:t>
      </w:r>
      <w:proofErr w:type="spellStart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Ясвиным</w:t>
      </w:r>
      <w:proofErr w:type="spellEnd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методики «Программно-диагностического комплекса для обеспечения процесса </w:t>
      </w:r>
      <w:proofErr w:type="spellStart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экспертнопроектного</w:t>
      </w:r>
      <w:proofErr w:type="spellEnd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инновационным развитием образовательных учреждений» (В.А. </w:t>
      </w:r>
      <w:proofErr w:type="spellStart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С.Н. Рыбинская, С.А. Белова, С.Е </w:t>
      </w:r>
      <w:proofErr w:type="spellStart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Дробнов</w:t>
      </w:r>
      <w:proofErr w:type="spellEnd"/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7C2D59A1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экспертизы участвовали все участники образовательных отношений: дети, учителя, администрация, родители. Некоторые результаты исследования отражены на рис. 1-5.</w:t>
      </w:r>
    </w:p>
    <w:p w14:paraId="72D45E03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781EA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FCC57" w14:textId="1B513B68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7C4F433" wp14:editId="632B9DCA">
            <wp:extent cx="2708275" cy="1582420"/>
            <wp:effectExtent l="0" t="0" r="15875" b="1778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93F19BF" w14:textId="77777777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Рис.1. «Диаграмма выраженности школьной образовательной среды (результаты диагностики директора ОО)»</w:t>
      </w:r>
    </w:p>
    <w:p w14:paraId="44CB7CD8" w14:textId="544F5654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9D926DD" wp14:editId="5AD263E6">
            <wp:extent cx="2748915" cy="1733550"/>
            <wp:effectExtent l="0" t="0" r="1333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8136BF" w14:textId="77777777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Рис.2. «Диаграмма выраженности школьной образовательной среды (результаты диагностики администрации ОО)»</w:t>
      </w:r>
    </w:p>
    <w:p w14:paraId="711E13C7" w14:textId="1C602A82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5AB4BA0F" wp14:editId="033ED438">
            <wp:extent cx="3211830" cy="1762760"/>
            <wp:effectExtent l="0" t="0" r="7620" b="889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E9A3B1" w14:textId="77777777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Рис.3. «Диаграмма выраженности школьной образовательной среды (результаты диагностики педагогов ОО)»</w:t>
      </w:r>
    </w:p>
    <w:p w14:paraId="03399472" w14:textId="32EF4A2F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252C01E" wp14:editId="7FEC9A7A">
            <wp:extent cx="3437255" cy="1803400"/>
            <wp:effectExtent l="0" t="0" r="10795" b="63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009668" w14:textId="77777777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Рис.4. «Диаграмма выраженности школьной образовательной среды (результаты диагностики обучающихся ОО)»</w:t>
      </w:r>
    </w:p>
    <w:p w14:paraId="5896E814" w14:textId="275235E1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BA1239B" wp14:editId="7E769C2C">
            <wp:extent cx="3556000" cy="2171065"/>
            <wp:effectExtent l="0" t="0" r="6350" b="63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521F02" w14:textId="77777777" w:rsidR="00F062E8" w:rsidRPr="00F062E8" w:rsidRDefault="00F062E8" w:rsidP="00F062E8">
      <w:pPr>
        <w:spacing w:after="1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Рис.5. «Диаграмма выраженности школьной образовательной среды (результаты диагностики родителей)»</w:t>
      </w:r>
    </w:p>
    <w:p w14:paraId="597C5E1A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результатов экспертизы школьной среды показал, что она имеет смешанный характер, где преобладают в основном "творческая" среда и "безмятежная" среда, а также небольшие доли "догматической" среды и «карьерной» среды.</w:t>
      </w:r>
    </w:p>
    <w:p w14:paraId="1332E523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Стоит отметить, что доля "безмятежной» составляющая практически равны у обучающихся, учителей и администрации школы, но у родителей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заметно ниже выражена, чем у остальных участников образовательного процесса. </w:t>
      </w:r>
    </w:p>
    <w:p w14:paraId="228D3374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Невысок процент «карьерной» составляющей у детей и педагогов, у администрации и директора ОО вообще отсутствует выраженность данной среды школы. Но, по результатам диагностики родителей, обучающихся «карьерная» среда выражена наиболее ярко. </w:t>
      </w:r>
    </w:p>
    <w:p w14:paraId="1DFBA469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Интересно отметить, что учитель видит карьерный рост не столько в повышении должности, сколько в профессиональном плане: учитель первой квалификационной категории, учитель высшей квалификационной категории.  </w:t>
      </w:r>
    </w:p>
    <w:p w14:paraId="59DF1D9E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Стоит обратить внимание, что и дети, и учителя, и администрации школы считают школьную среду способствующей творческому развитию. Как предположение – сказывается социальное окружение школы: удаленность от областного центра, сложности с подвозом детей, большое количество музеев, что в свою очередь формирует расположение к творческой среде.  </w:t>
      </w:r>
    </w:p>
    <w:p w14:paraId="5F802F8E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Полученные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результаты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–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повод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задуматься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 развитии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3AD4FC6" w14:textId="77777777" w:rsidR="00F062E8" w:rsidRPr="00F062E8" w:rsidRDefault="00F062E8" w:rsidP="00F0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карьерной составляющей и снижении безмятежной. </w:t>
      </w:r>
    </w:p>
    <w:p w14:paraId="3ADA3C11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13F298C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29C3BD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47085F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18EEC5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</w:t>
      </w:r>
      <w:r w:rsidRPr="00F062E8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психолого-педагогической экспертизы образовательной среды отражены на рис.6 и 7.</w:t>
      </w:r>
    </w:p>
    <w:p w14:paraId="278CAF45" w14:textId="367F6466" w:rsidR="00F062E8" w:rsidRPr="00F062E8" w:rsidRDefault="00F062E8" w:rsidP="00F062E8">
      <w:pPr>
        <w:spacing w:after="10" w:line="390" w:lineRule="auto"/>
        <w:ind w:left="-15" w:right="42" w:firstLine="840"/>
        <w:jc w:val="center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FDFA995" wp14:editId="3CA2395C">
            <wp:extent cx="5582920" cy="3775710"/>
            <wp:effectExtent l="0" t="0" r="17780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2CAA47" w14:textId="77777777" w:rsidR="00F062E8" w:rsidRPr="00F062E8" w:rsidRDefault="00F062E8" w:rsidP="00F062E8">
      <w:pPr>
        <w:spacing w:after="10" w:line="390" w:lineRule="auto"/>
        <w:ind w:left="-15" w:right="42" w:firstLine="8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Рис.5. «Диаграмма выраженности критериев оценки образовательной среды </w:t>
      </w:r>
    </w:p>
    <w:p w14:paraId="5B8D592E" w14:textId="77777777" w:rsidR="00F062E8" w:rsidRPr="00F062E8" w:rsidRDefault="00F062E8" w:rsidP="00F062E8">
      <w:pPr>
        <w:spacing w:after="10" w:line="390" w:lineRule="auto"/>
        <w:ind w:left="-15" w:right="42" w:firstLine="8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 группам)»</w:t>
      </w:r>
    </w:p>
    <w:p w14:paraId="58A32F6C" w14:textId="0D5422E0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2E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2797C6B" wp14:editId="0CC56F86">
            <wp:extent cx="4578350" cy="3417570"/>
            <wp:effectExtent l="0" t="0" r="12700" b="114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5F29CA" w14:textId="77777777" w:rsidR="00F062E8" w:rsidRPr="00F062E8" w:rsidRDefault="00F062E8" w:rsidP="00F062E8">
      <w:pPr>
        <w:spacing w:after="10" w:line="390" w:lineRule="auto"/>
        <w:ind w:left="-15" w:right="42" w:firstLine="8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62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Рис.6. «Диаграмма выраженности критериев оценки образовательной среды (общая)»</w:t>
      </w:r>
    </w:p>
    <w:p w14:paraId="68D2DEE8" w14:textId="77777777" w:rsidR="00F062E8" w:rsidRPr="00F062E8" w:rsidRDefault="00F062E8" w:rsidP="00F062E8">
      <w:pPr>
        <w:spacing w:after="10" w:line="390" w:lineRule="auto"/>
        <w:ind w:left="-15" w:righ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BE50C8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результатов экспертизы выявил, что показатели большинства количественных параметров школьной среды находятся на среднем уровне. </w:t>
      </w:r>
    </w:p>
    <w:p w14:paraId="2C2DF514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Тот же анализ результатов экспертизы показал, что более развитыми показателями являются: доминантность, устойчивость, безопасность и структурированность; менее развитыми такие критерии среды как активность, широта, эмоциональность</w:t>
      </w:r>
      <w:bookmarkStart w:id="1" w:name="_Hlk63674828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когерентность</w:t>
      </w:r>
      <w:bookmarkEnd w:id="1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1FD3CF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Социальная активность школьной среды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служит показателем её социально ориентированного созидательного потенциала и экспансии школьной среды в среду обитания. </w:t>
      </w:r>
    </w:p>
    <w:p w14:paraId="320D9A58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 значимым продуктом могут быть не только образованные люди, обязанные своим личностным развитием данной школьной среде, но также собственно интеллектуальные и материальные ценности: общественные инициативы, компьютерные программы, методическая литература, радио- и телепередачи, художественные и литературные творческие произведения, сувениры, игрушки, наконец, овощи и фрукты, производимые в школе. </w:t>
      </w:r>
    </w:p>
    <w:p w14:paraId="4EE6FC68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 основной «продукт» школьной среды — это социально активные люди, стремящиеся творчески изменять среду обитания в соответствии с теми ценностными ориентирами, которые они усвоили в школьной среде.  </w:t>
      </w:r>
    </w:p>
    <w:p w14:paraId="0E6E04D7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Одной из главных задач нашего проекта будет формирование среды для повышения уровня развития фактора активности ОО (основной упор на трансляцию достижений).</w:t>
      </w:r>
    </w:p>
    <w:p w14:paraId="2DBC6487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Широта школьной среды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служит её структурно-содержательной характеристикой, показывающей, какие субъекты, объекты, процессы и явления включены в данную образовательную среду. </w:t>
      </w:r>
    </w:p>
    <w:p w14:paraId="2F696044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связано с </w:t>
      </w:r>
      <w:proofErr w:type="spellStart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малокомплектностью</w:t>
      </w:r>
      <w:proofErr w:type="spellEnd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сельских школ, где социальные контакты обучающихся достаточно ограничены, а также на низком уровне находится материальная база.</w:t>
      </w:r>
    </w:p>
    <w:p w14:paraId="789EE6A5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Эмоциональность школьной среды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характеризует соотношение в </w:t>
      </w:r>
    </w:p>
    <w:p w14:paraId="03032EE6" w14:textId="77777777" w:rsidR="00F062E8" w:rsidRPr="00F062E8" w:rsidRDefault="00F062E8" w:rsidP="00F0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ней эмоционального и рационального компонентов. </w:t>
      </w:r>
    </w:p>
    <w:p w14:paraId="2C2AD0D9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Эмоциональность школьной среды соотносится с типом её модальности. Более высокие показатели эмоциональности в целом присущи активным типам среды — творческой и карьерной, более низкие — пассивным типам — догматической и безмятежной. </w:t>
      </w:r>
    </w:p>
    <w:p w14:paraId="019ADD85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В методике параметр «эмоциональность» среды раскрывается через такие содержательные аналитические блоки, как «Взаимоотношения в педагогическом коллективе», «Взаимоотношения с учащимися», «Взаимоотношения с родителями», «Эмоциональность оформления пространственно-предметной среды».</w:t>
      </w:r>
    </w:p>
    <w:p w14:paraId="2D30E2C7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Когерентность (согласованность) школьной среды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показывает степень согласованности её влияния на личность с влияниями других факторов среды обитания.</w:t>
      </w:r>
    </w:p>
    <w:p w14:paraId="4778AD42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Когерентность характеризует школьную среду по критерию «гармоничное — негармоничное». </w:t>
      </w:r>
    </w:p>
    <w:p w14:paraId="7B9B8E75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Когерентность показывает, является ли школьная среда чем-то обособленным в среде обитания личности или она тесно с ней связана, высоко интегрирована в нее.</w:t>
      </w:r>
    </w:p>
    <w:p w14:paraId="19B51FFC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Повышению когерентности школьной среды могут способствовать государственные образовательные стандарты; совместно вырабатываемые всеми образовательными учреждениями района, города или региона образовательные концепции и программы; тесное сотрудничество школы с учреждениями культуры, средствами массовой информации, неформальными молодежными организациями, органами самоуправления и т.д.</w:t>
      </w:r>
    </w:p>
    <w:p w14:paraId="5498B53A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Выводы: </w:t>
      </w:r>
    </w:p>
    <w:p w14:paraId="016D5222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результатов экспертизы школьной среды показал, что она имеет смешанный характер, где преобладают в основном среда "творческая" и "безмятежная". </w:t>
      </w:r>
    </w:p>
    <w:p w14:paraId="59F49095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Есть небольшие доли среды "догматической" и «карьерной». Отраженные показатели недостаточны для </w:t>
      </w: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 учащихся</w:t>
      </w:r>
      <w:r w:rsidRPr="00F062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есть необходимость развития таких направлений, как </w:t>
      </w: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творческая деятельность, здоровые карьерные амбиции</w:t>
      </w:r>
      <w:r w:rsidRPr="00F062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65B80BF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Недостаточно развиты показатели ЛРОС: </w:t>
      </w: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активность, широта, эмоциональность и когерентность, что требует особого внимания и организации работы по их развитию.  </w:t>
      </w:r>
    </w:p>
    <w:p w14:paraId="4F66CB72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МОУ СШ </w:t>
      </w:r>
      <w:proofErr w:type="spellStart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им.Ф.И</w:t>
      </w:r>
      <w:proofErr w:type="spellEnd"/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Толбухина ЯМР имеет </w:t>
      </w: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смешанный тип организационной культуры</w:t>
      </w:r>
      <w:r w:rsidRPr="00F062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14:paraId="3597A6C3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Один из имеющихся ее недостатков – </w:t>
      </w:r>
      <w:r w:rsidRPr="00F0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низкий уровень результативности деятельности</w:t>
      </w:r>
      <w:r w:rsidRPr="00F062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14:paraId="15E55238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наличие </w:t>
      </w:r>
      <w:r w:rsidRPr="00F062E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препятствует развитию таких качеств у ребенка, как активность, коммуникативность, креативность, критическое мышление, эмоциональный интеллект.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98FFDD8" w14:textId="77777777" w:rsidR="00F062E8" w:rsidRPr="00F062E8" w:rsidRDefault="00F062E8" w:rsidP="00F062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Педагогический коллектив готов вводить необходимые изменения в школе, способствующие достижению «личностных образовательных результатов обучающихся», проводя </w:t>
      </w:r>
      <w:r w:rsidRPr="00F0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комплексное обновление компонентов </w:t>
      </w: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школьной среды.</w:t>
      </w:r>
    </w:p>
    <w:p w14:paraId="440A1698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нашей школе необходимо значительно уменьшить преобладание безмятежной среды посредством конструктивного выстраивания личностно развивающей образовательной среды в пользу оптимального соотношения творческой и конкурентной сред. </w:t>
      </w:r>
    </w:p>
    <w:p w14:paraId="521197DD" w14:textId="77777777" w:rsidR="00F062E8" w:rsidRPr="00F062E8" w:rsidRDefault="00F062E8" w:rsidP="00F062E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Причем в этом огромное значение будет играть деятельность учителей. </w:t>
      </w:r>
    </w:p>
    <w:p w14:paraId="648FD749" w14:textId="77777777" w:rsidR="00F062E8" w:rsidRDefault="00F062E8"/>
    <w:sectPr w:rsidR="00F0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E8"/>
    <w:rsid w:val="00F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C6FB"/>
  <w15:chartTrackingRefBased/>
  <w15:docId w15:val="{F3A65472-795C-4EEE-BAE6-1E5F20D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82;&#1072;&#1090;&#1077;&#1088;&#1080;&#1085;&#1072;\Desktop\&#1082;&#1091;&#1088;&#1089;&#1099;%20&#1076;&#1080;&#1088;&#1077;&#1082;&#1090;&#1086;&#1088;&#1086;&#1074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82;&#1072;&#1090;&#1077;&#1088;&#1080;&#1085;&#1072;\Desktop\&#1082;&#1091;&#1088;&#1089;&#1099;%20&#1076;&#1080;&#1088;&#1077;&#1082;&#1090;&#1086;&#1088;&#1086;&#1074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82;&#1072;&#1090;&#1077;&#1088;&#1080;&#1085;&#1072;\Desktop\&#1082;&#1091;&#1088;&#1089;&#1099;%20&#1076;&#1080;&#1088;&#1077;&#1082;&#1090;&#1086;&#1088;&#1086;&#1074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82;&#1072;&#1090;&#1077;&#1088;&#1080;&#1085;&#1072;\Desktop\&#1082;&#1091;&#1088;&#1089;&#1099;%20&#1076;&#1080;&#1088;&#1077;&#1082;&#1090;&#1086;&#1088;&#1086;&#1074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82;&#1072;&#1090;&#1077;&#1088;&#1080;&#1085;&#1072;\Desktop\&#1082;&#1091;&#1088;&#1089;&#1099;%20&#1076;&#1080;&#1088;&#1077;&#1082;&#1090;&#1086;&#1088;&#1086;&#1074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9;&#1080;&#1093;&#1086;&#1083;&#1086;&#1075;\Desktop\&#1050;&#1091;&#1088;&#1089;&#1099;%20&#1055;&#1055;&#1050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9;&#1080;&#1093;&#1086;&#1083;&#1086;&#1075;\Desktop\&#1050;&#1091;&#1088;&#1089;&#1099;%20&#1055;&#1055;&#1050;\&#1052;&#1072;&#1090;&#1077;&#1088;&#1080;&#1072;&#1083;&#1099;%20&#1076;&#1083;&#1103;%20&#1101;&#1082;&#1089;&#1087;&#1077;&#1088;&#1090;&#1080;&#1079;&#1099;%20&#1054;&#1057;\&#1059;&#1095;&#1077;&#1073;&#1085;&#1099;&#1077;%20&#1084;&#1072;&#1090;&#1077;&#1088;&#1080;&#1072;&#1083;&#1099;%20-%20&#1064;&#1072;&#1073;&#1083;&#1086;&#1085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1-A2B7-4772-AF44-C8AB55C55C59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3-A2B7-4772-AF44-C8AB55C55C59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</c:spPr>
            <c:extLst>
              <c:ext xmlns:c16="http://schemas.microsoft.com/office/drawing/2014/chart" uri="{C3380CC4-5D6E-409C-BE32-E72D297353CC}">
                <c16:uniqueId val="{00000005-A2B7-4772-AF44-C8AB55C55C59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A2B7-4772-AF44-C8AB55C55C5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'[Учебные материалы - Шаблон.xlsx]Анализ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'[Учебные материалы - Шаблон.xlsx]Анализ школьной среды'!$B$47:$B$50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33.333333333333336</c:v>
                </c:pt>
                <c:pt idx="3">
                  <c:v>66.666666666666671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B7-4772-AF44-C8AB55C55C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1-099D-4F28-91B3-8B0E15C3CD35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3-099D-4F28-91B3-8B0E15C3CD35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</c:spPr>
            <c:extLst>
              <c:ext xmlns:c16="http://schemas.microsoft.com/office/drawing/2014/chart" uri="{C3380CC4-5D6E-409C-BE32-E72D297353CC}">
                <c16:uniqueId val="{00000005-099D-4F28-91B3-8B0E15C3CD3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099D-4F28-91B3-8B0E15C3CD3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'[Учебные материалы - Шаблон.xlsx]Анализ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'[Учебные материалы - Шаблон.xlsx]Анализ школьной среды'!$B$47:$B$50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66.666666666666671</c:v>
                </c:pt>
                <c:pt idx="3">
                  <c:v>33.333333333333336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9D-4F28-91B3-8B0E15C3C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1-CF77-4D6A-A3E0-A0AD8D1B85C3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3-CF77-4D6A-A3E0-A0AD8D1B85C3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</c:spPr>
            <c:extLst>
              <c:ext xmlns:c16="http://schemas.microsoft.com/office/drawing/2014/chart" uri="{C3380CC4-5D6E-409C-BE32-E72D297353CC}">
                <c16:uniqueId val="{00000005-CF77-4D6A-A3E0-A0AD8D1B85C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CF77-4D6A-A3E0-A0AD8D1B85C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'[Учебные материалы - Шаблон.xlsx]Анализ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'[Учебные материалы - Шаблон.xlsx]Анализ школьной среды'!$B$47:$B$50</c:f>
              <c:numCache>
                <c:formatCode>0</c:formatCode>
                <c:ptCount val="4"/>
                <c:pt idx="0">
                  <c:v>8.6598666666666677</c:v>
                </c:pt>
                <c:pt idx="1">
                  <c:v>12.740133333333333</c:v>
                </c:pt>
                <c:pt idx="2">
                  <c:v>46.793199999999999</c:v>
                </c:pt>
                <c:pt idx="3">
                  <c:v>31.806799999999999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77-4D6A-A3E0-A0AD8D1B8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1-4017-4286-8D8E-033B128D22FF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3-4017-4286-8D8E-033B128D22FF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</c:spPr>
            <c:extLst>
              <c:ext xmlns:c16="http://schemas.microsoft.com/office/drawing/2014/chart" uri="{C3380CC4-5D6E-409C-BE32-E72D297353CC}">
                <c16:uniqueId val="{00000005-4017-4286-8D8E-033B128D22FF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4017-4286-8D8E-033B128D22F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'[Учебные материалы - Шаблон.xlsx]Анализ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'[Учебные материалы - Шаблон.xlsx]Анализ школьной среды'!$B$47:$B$50</c:f>
              <c:numCache>
                <c:formatCode>0</c:formatCode>
                <c:ptCount val="4"/>
                <c:pt idx="0">
                  <c:v>4.7555555555555564</c:v>
                </c:pt>
                <c:pt idx="1">
                  <c:v>9.5111111111111128</c:v>
                </c:pt>
                <c:pt idx="2">
                  <c:v>52.4</c:v>
                </c:pt>
                <c:pt idx="3">
                  <c:v>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17-4286-8D8E-033B128D2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5B9BD5"/>
              </a:solidFill>
            </c:spPr>
            <c:extLst>
              <c:ext xmlns:c16="http://schemas.microsoft.com/office/drawing/2014/chart" uri="{C3380CC4-5D6E-409C-BE32-E72D297353CC}">
                <c16:uniqueId val="{00000001-BA92-4EC6-9890-6A93F6E81B91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3-BA92-4EC6-9890-6A93F6E81B91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</c:spPr>
            <c:extLst>
              <c:ext xmlns:c16="http://schemas.microsoft.com/office/drawing/2014/chart" uri="{C3380CC4-5D6E-409C-BE32-E72D297353CC}">
                <c16:uniqueId val="{00000005-BA92-4EC6-9890-6A93F6E81B91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BA92-4EC6-9890-6A93F6E81B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'[Учебные материалы - Шаблон.xlsx]Анализ школьной среды'!$A$47:$A$50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'[Учебные материалы - Шаблон.xlsx]Анализ школьной среды'!$B$47:$B$50</c:f>
              <c:numCache>
                <c:formatCode>0</c:formatCode>
                <c:ptCount val="4"/>
                <c:pt idx="0">
                  <c:v>7.8977777777777769</c:v>
                </c:pt>
                <c:pt idx="1">
                  <c:v>51.335555555555558</c:v>
                </c:pt>
                <c:pt idx="2">
                  <c:v>35.331111111111113</c:v>
                </c:pt>
                <c:pt idx="3">
                  <c:v>5.4355555555555553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92-4EC6-9890-6A93F6E81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ru-RU"/>
        </a:p>
      </c:txPr>
    </c:legend>
    <c:plotVisOnly val="1"/>
    <c:dispBlanksAs val="zero"/>
    <c:showDLblsOverMax val="1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Руководитель/Директор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среды'!$B$107:$B$118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10</c:v>
                </c:pt>
                <c:pt idx="10">
                  <c:v>9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3-49F5-AA30-04D0C6C7DAA5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среды'!$C$107:$C$118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93-49F5-AA30-04D0C6C7DAA5}"/>
            </c:ext>
          </c:extLst>
        </c:ser>
        <c:ser>
          <c:idx val="2"/>
          <c:order val="2"/>
          <c:tx>
            <c:v>Педагоги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среды'!$D$107:$D$118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93-49F5-AA30-04D0C6C7DAA5}"/>
            </c:ext>
          </c:extLst>
        </c:ser>
        <c:ser>
          <c:idx val="3"/>
          <c:order val="3"/>
          <c:tx>
            <c:v>Родители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среды'!$E$107:$E$118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93-49F5-AA30-04D0C6C7DAA5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среды'!$F$107:$F$118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93-49F5-AA30-04D0C6C7D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273472"/>
        <c:axId val="133275008"/>
      </c:radarChart>
      <c:catAx>
        <c:axId val="1332734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33275008"/>
        <c:crosses val="autoZero"/>
        <c:auto val="1"/>
        <c:lblAlgn val="ctr"/>
        <c:lblOffset val="100"/>
        <c:noMultiLvlLbl val="0"/>
      </c:catAx>
      <c:valAx>
        <c:axId val="13327500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327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86333479148439"/>
          <c:y val="4.4440265972670569E-2"/>
          <c:w val="0.21924777631962672"/>
          <c:h val="0.9068929253665777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cat>
            <c:strRef>
              <c:f>'Анализ школьной среды'!$A$73:$A$84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среды'!$B$73:$B$84</c:f>
              <c:numCache>
                <c:formatCode>General</c:formatCode>
                <c:ptCount val="12"/>
                <c:pt idx="0">
                  <c:v>1.7</c:v>
                </c:pt>
                <c:pt idx="1">
                  <c:v>2.4</c:v>
                </c:pt>
                <c:pt idx="2">
                  <c:v>3.3</c:v>
                </c:pt>
                <c:pt idx="3">
                  <c:v>2.7</c:v>
                </c:pt>
                <c:pt idx="4">
                  <c:v>1.2</c:v>
                </c:pt>
                <c:pt idx="5">
                  <c:v>5.3</c:v>
                </c:pt>
                <c:pt idx="6">
                  <c:v>1.8</c:v>
                </c:pt>
                <c:pt idx="7">
                  <c:v>1.6</c:v>
                </c:pt>
                <c:pt idx="8">
                  <c:v>2.7</c:v>
                </c:pt>
                <c:pt idx="9">
                  <c:v>5.0999999999999996</c:v>
                </c:pt>
                <c:pt idx="10">
                  <c:v>5.4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E8-4F0A-B2F0-BA49EAC62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641984"/>
        <c:axId val="137643520"/>
      </c:radarChart>
      <c:catAx>
        <c:axId val="1376419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37643520"/>
        <c:crosses val="autoZero"/>
        <c:auto val="1"/>
        <c:lblAlgn val="ctr"/>
        <c:lblOffset val="100"/>
        <c:noMultiLvlLbl val="0"/>
      </c:catAx>
      <c:valAx>
        <c:axId val="13764352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7641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1</cp:revision>
  <dcterms:created xsi:type="dcterms:W3CDTF">2022-05-23T05:41:00Z</dcterms:created>
  <dcterms:modified xsi:type="dcterms:W3CDTF">2022-05-23T11:05:00Z</dcterms:modified>
</cp:coreProperties>
</file>